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83" w:rsidRDefault="00456083" w:rsidP="00456083">
      <w:pPr>
        <w:ind w:left="0"/>
      </w:pPr>
    </w:p>
    <w:p w:rsidR="00456083" w:rsidRPr="00FA2E40" w:rsidRDefault="00456083" w:rsidP="00456083">
      <w:pPr>
        <w:ind w:left="0"/>
        <w:rPr>
          <w:b/>
        </w:rPr>
      </w:pPr>
      <w:r w:rsidRPr="00FA2E40">
        <w:rPr>
          <w:b/>
        </w:rPr>
        <w:t>[</w:t>
      </w:r>
      <w:r w:rsidR="00FA2E40" w:rsidRPr="00FA2E40">
        <w:rPr>
          <w:b/>
          <w:color w:val="005186" w:themeColor="text2"/>
        </w:rPr>
        <w:t>PROJECT NAME</w:t>
      </w:r>
      <w:r w:rsidRPr="00FA2E40">
        <w:rPr>
          <w:b/>
        </w:rPr>
        <w:t>]</w:t>
      </w:r>
    </w:p>
    <w:p w:rsidR="00456083" w:rsidRPr="00FA2E40" w:rsidRDefault="00456083" w:rsidP="00456083">
      <w:pPr>
        <w:ind w:left="0"/>
        <w:rPr>
          <w:b/>
        </w:rPr>
      </w:pPr>
      <w:r w:rsidRPr="00FA2E40">
        <w:rPr>
          <w:b/>
        </w:rPr>
        <w:t>[</w:t>
      </w:r>
      <w:r w:rsidR="00FA2E40" w:rsidRPr="00FA2E40">
        <w:rPr>
          <w:b/>
          <w:color w:val="005186" w:themeColor="text2"/>
        </w:rPr>
        <w:t>OHFA TRACKING NUMBER</w:t>
      </w:r>
      <w:r w:rsidRPr="00FA2E40">
        <w:rPr>
          <w:b/>
        </w:rPr>
        <w:t>]</w:t>
      </w:r>
    </w:p>
    <w:p w:rsidR="00456083" w:rsidRPr="00FA2E40" w:rsidRDefault="00456083" w:rsidP="00456083">
      <w:pPr>
        <w:ind w:left="0"/>
        <w:rPr>
          <w:b/>
        </w:rPr>
      </w:pPr>
      <w:r w:rsidRPr="00FA2E40">
        <w:rPr>
          <w:b/>
        </w:rPr>
        <w:t>[</w:t>
      </w:r>
      <w:r w:rsidR="00FA2E40" w:rsidRPr="00FA2E40">
        <w:rPr>
          <w:b/>
          <w:color w:val="005186" w:themeColor="text2"/>
        </w:rPr>
        <w:t>OWNER NAME</w:t>
      </w:r>
      <w:r w:rsidRPr="00FA2E40">
        <w:rPr>
          <w:b/>
        </w:rPr>
        <w:t>]</w:t>
      </w:r>
    </w:p>
    <w:p w:rsidR="00456083" w:rsidRPr="00FA2E40" w:rsidRDefault="00456083" w:rsidP="00456083">
      <w:pPr>
        <w:ind w:left="0"/>
        <w:rPr>
          <w:b/>
        </w:rPr>
      </w:pPr>
      <w:r w:rsidRPr="00FA2E40">
        <w:rPr>
          <w:b/>
        </w:rPr>
        <w:t>[</w:t>
      </w:r>
      <w:r w:rsidR="00FA2E40" w:rsidRPr="00FA2E40">
        <w:rPr>
          <w:b/>
          <w:color w:val="005186" w:themeColor="text2"/>
        </w:rPr>
        <w:t>OWNER ADDRESS</w:t>
      </w:r>
      <w:r w:rsidRPr="00FA2E40">
        <w:rPr>
          <w:b/>
        </w:rPr>
        <w:t>]</w:t>
      </w:r>
    </w:p>
    <w:p w:rsidR="00456083" w:rsidRPr="00FA2E40" w:rsidRDefault="00456083" w:rsidP="00456083">
      <w:pPr>
        <w:ind w:left="0"/>
        <w:rPr>
          <w:b/>
        </w:rPr>
      </w:pPr>
    </w:p>
    <w:p w:rsidR="00456083" w:rsidRPr="00FA2E40" w:rsidRDefault="00456083" w:rsidP="00456083">
      <w:pPr>
        <w:ind w:left="0"/>
        <w:rPr>
          <w:b/>
        </w:rPr>
      </w:pPr>
      <w:r w:rsidRPr="00FA2E40">
        <w:rPr>
          <w:b/>
        </w:rPr>
        <w:t>[</w:t>
      </w:r>
      <w:r w:rsidR="00FA2E40" w:rsidRPr="00FA2E40">
        <w:rPr>
          <w:b/>
          <w:color w:val="005186" w:themeColor="text2"/>
        </w:rPr>
        <w:t>DATE</w:t>
      </w:r>
      <w:r w:rsidRPr="00FA2E40">
        <w:rPr>
          <w:b/>
        </w:rPr>
        <w:t>]</w:t>
      </w:r>
    </w:p>
    <w:p w:rsidR="00456083" w:rsidRPr="00456083" w:rsidRDefault="00456083" w:rsidP="00456083">
      <w:pPr>
        <w:ind w:left="0"/>
      </w:pPr>
    </w:p>
    <w:p w:rsidR="00456083" w:rsidRDefault="00456083" w:rsidP="00456083">
      <w:pPr>
        <w:ind w:left="0"/>
      </w:pPr>
      <w:r>
        <w:t>Karen Banyai</w:t>
      </w:r>
    </w:p>
    <w:p w:rsidR="00456083" w:rsidRDefault="00456083" w:rsidP="00456083">
      <w:pPr>
        <w:ind w:left="0"/>
      </w:pPr>
      <w:r>
        <w:t>Operations Manager</w:t>
      </w:r>
    </w:p>
    <w:p w:rsidR="00456083" w:rsidRPr="00456083" w:rsidRDefault="00456083" w:rsidP="00456083">
      <w:pPr>
        <w:ind w:left="0"/>
      </w:pPr>
      <w:r>
        <w:t>Ohio Housing Finance Agency</w:t>
      </w:r>
    </w:p>
    <w:p w:rsidR="00456083" w:rsidRDefault="00456083" w:rsidP="00456083">
      <w:pPr>
        <w:ind w:left="0"/>
      </w:pPr>
      <w:r>
        <w:t>57 East Main Street</w:t>
      </w:r>
    </w:p>
    <w:p w:rsidR="00456083" w:rsidRPr="00456083" w:rsidRDefault="00456083" w:rsidP="00456083">
      <w:pPr>
        <w:ind w:left="0"/>
      </w:pPr>
      <w:r>
        <w:t>Columbus, OH 43215</w:t>
      </w:r>
    </w:p>
    <w:p w:rsidR="00456083" w:rsidRPr="00456083" w:rsidRDefault="00456083" w:rsidP="00456083">
      <w:pPr>
        <w:ind w:left="0"/>
      </w:pPr>
    </w:p>
    <w:p w:rsidR="00456083" w:rsidRDefault="00456083" w:rsidP="00456083">
      <w:pPr>
        <w:ind w:left="0"/>
      </w:pPr>
      <w:r>
        <w:t>RE: Request for Carryover Allocation Relief under IRS Revenue Procedure 2014-49</w:t>
      </w:r>
    </w:p>
    <w:p w:rsidR="00456083" w:rsidRDefault="00456083" w:rsidP="00456083">
      <w:pPr>
        <w:ind w:left="0"/>
      </w:pPr>
    </w:p>
    <w:p w:rsidR="00456083" w:rsidRPr="00456083" w:rsidRDefault="00456083" w:rsidP="00456083">
      <w:pPr>
        <w:ind w:left="0"/>
      </w:pPr>
      <w:r>
        <w:t>Ms. Banyai</w:t>
      </w:r>
      <w:r w:rsidRPr="00456083">
        <w:t>:</w:t>
      </w:r>
    </w:p>
    <w:p w:rsidR="00456083" w:rsidRPr="00456083" w:rsidRDefault="00456083" w:rsidP="00456083">
      <w:pPr>
        <w:ind w:left="0"/>
      </w:pPr>
    </w:p>
    <w:p w:rsidR="00456083" w:rsidRDefault="00B832FD" w:rsidP="00787027">
      <w:pPr>
        <w:ind w:left="0"/>
      </w:pPr>
      <w:r w:rsidRPr="00FA2E40">
        <w:rPr>
          <w:b/>
        </w:rPr>
        <w:t>[</w:t>
      </w:r>
      <w:r w:rsidR="00FA2E40" w:rsidRPr="00FA2E40">
        <w:rPr>
          <w:b/>
          <w:color w:val="005186" w:themeColor="text2"/>
        </w:rPr>
        <w:t>OWNER</w:t>
      </w:r>
      <w:r w:rsidRPr="00FA2E40">
        <w:rPr>
          <w:b/>
        </w:rPr>
        <w:t>]</w:t>
      </w:r>
      <w:r>
        <w:t xml:space="preserve"> is requesting carryover allocation relief for the above stated project in the form of an extension to the </w:t>
      </w:r>
      <w:r w:rsidRPr="00FA2E40">
        <w:rPr>
          <w:b/>
        </w:rPr>
        <w:t>[</w:t>
      </w:r>
      <w:r w:rsidR="00FA2E40" w:rsidRPr="00FA2E40">
        <w:rPr>
          <w:b/>
          <w:color w:val="005186" w:themeColor="text2"/>
        </w:rPr>
        <w:t>10 PERCENT TEST DEADLINE AND/OR PLACED IN SERVICE DEADLINE</w:t>
      </w:r>
      <w:r w:rsidRPr="00FA2E40">
        <w:rPr>
          <w:b/>
        </w:rPr>
        <w:t>]</w:t>
      </w:r>
      <w:r>
        <w:t xml:space="preserve">. The project meets the </w:t>
      </w:r>
      <w:r w:rsidR="007D23B5">
        <w:t xml:space="preserve">eligibility </w:t>
      </w:r>
      <w:r>
        <w:t>requirements as outlined in IRS Revenu</w:t>
      </w:r>
      <w:r w:rsidR="007D23B5">
        <w:t xml:space="preserve">e Procedure 2014-49, sections 6 and 7, and described below: </w:t>
      </w:r>
    </w:p>
    <w:p w:rsidR="007D23B5" w:rsidRDefault="007D23B5" w:rsidP="007D23B5">
      <w:pPr>
        <w:pStyle w:val="ListParagraph"/>
        <w:numPr>
          <w:ilvl w:val="0"/>
          <w:numId w:val="2"/>
        </w:numPr>
      </w:pPr>
      <w:r>
        <w:t xml:space="preserve">A demonstrated and documented need exists for the relief; </w:t>
      </w:r>
    </w:p>
    <w:p w:rsidR="007D23B5" w:rsidRDefault="007D23B5" w:rsidP="007D23B5">
      <w:pPr>
        <w:pStyle w:val="ListParagraph"/>
        <w:numPr>
          <w:ilvl w:val="0"/>
          <w:numId w:val="2"/>
        </w:numPr>
      </w:pPr>
      <w:r w:rsidRPr="00FA2E40">
        <w:rPr>
          <w:b/>
        </w:rPr>
        <w:t>[</w:t>
      </w:r>
      <w:r w:rsidR="00FA2E40" w:rsidRPr="00FA2E40">
        <w:rPr>
          <w:b/>
          <w:color w:val="005186" w:themeColor="text2"/>
        </w:rPr>
        <w:t>OWNER</w:t>
      </w:r>
      <w:r w:rsidRPr="00FA2E40">
        <w:rPr>
          <w:b/>
        </w:rPr>
        <w:t>]</w:t>
      </w:r>
      <w:r>
        <w:t xml:space="preserve"> has a carryover allocation for a building located in a Major Disaster Area;</w:t>
      </w:r>
    </w:p>
    <w:p w:rsidR="007D23B5" w:rsidRDefault="007D23B5" w:rsidP="007D23B5">
      <w:pPr>
        <w:pStyle w:val="ListParagraph"/>
        <w:numPr>
          <w:ilvl w:val="0"/>
          <w:numId w:val="2"/>
        </w:numPr>
      </w:pPr>
      <w:r w:rsidRPr="00FA2E40">
        <w:rPr>
          <w:b/>
        </w:rPr>
        <w:t>[</w:t>
      </w:r>
      <w:r w:rsidR="00FA2E40" w:rsidRPr="00FA2E40">
        <w:rPr>
          <w:b/>
          <w:color w:val="005186" w:themeColor="text2"/>
        </w:rPr>
        <w:t>OWNER</w:t>
      </w:r>
      <w:r w:rsidRPr="00FA2E40">
        <w:rPr>
          <w:b/>
        </w:rPr>
        <w:t>]</w:t>
      </w:r>
      <w:r>
        <w:t xml:space="preserve"> cannot reasonably satisfy the deadlines of § 42(h)(1)(E) because of a Major Disaster; and</w:t>
      </w:r>
    </w:p>
    <w:p w:rsidR="007D23B5" w:rsidRDefault="007D23B5" w:rsidP="007D23B5">
      <w:pPr>
        <w:pStyle w:val="ListParagraph"/>
        <w:numPr>
          <w:ilvl w:val="1"/>
          <w:numId w:val="2"/>
        </w:numPr>
      </w:pPr>
      <w:r>
        <w:t xml:space="preserve">For </w:t>
      </w:r>
      <w:r w:rsidRPr="007D23B5">
        <w:rPr>
          <w:b/>
        </w:rPr>
        <w:t>10% test relief</w:t>
      </w:r>
      <w:r>
        <w:t xml:space="preserve">, the project has a </w:t>
      </w:r>
      <w:r w:rsidRPr="007D23B5">
        <w:rPr>
          <w:b/>
        </w:rPr>
        <w:t>10% test deadline of January 20, 2020 or later</w:t>
      </w:r>
      <w:r>
        <w:t xml:space="preserve"> as indicated in the carryover allocation agreement; or</w:t>
      </w:r>
    </w:p>
    <w:p w:rsidR="007D23B5" w:rsidRDefault="007D23B5" w:rsidP="007D23B5">
      <w:pPr>
        <w:pStyle w:val="ListParagraph"/>
        <w:numPr>
          <w:ilvl w:val="1"/>
          <w:numId w:val="2"/>
        </w:numPr>
      </w:pPr>
      <w:r>
        <w:t xml:space="preserve">For </w:t>
      </w:r>
      <w:r w:rsidRPr="007D23B5">
        <w:rPr>
          <w:b/>
        </w:rPr>
        <w:t>placed in service relief</w:t>
      </w:r>
      <w:r>
        <w:t xml:space="preserve">, the project has an </w:t>
      </w:r>
      <w:r w:rsidRPr="007D23B5">
        <w:rPr>
          <w:b/>
        </w:rPr>
        <w:t xml:space="preserve">Allocation Date of </w:t>
      </w:r>
      <w:r w:rsidR="00876F2C" w:rsidRPr="00876F2C">
        <w:rPr>
          <w:b/>
        </w:rPr>
        <w:t>March 31</w:t>
      </w:r>
      <w:r w:rsidRPr="00876F2C">
        <w:rPr>
          <w:b/>
        </w:rPr>
        <w:t>,</w:t>
      </w:r>
      <w:r w:rsidRPr="007D23B5">
        <w:rPr>
          <w:b/>
        </w:rPr>
        <w:t xml:space="preserve"> 2020 or earlier</w:t>
      </w:r>
      <w:r>
        <w:t xml:space="preserve"> as indicated in the carryover allocation agreement.  </w:t>
      </w:r>
    </w:p>
    <w:p w:rsidR="00FA2E40" w:rsidRDefault="00FA2E40" w:rsidP="007D23B5">
      <w:pPr>
        <w:ind w:left="0"/>
      </w:pPr>
    </w:p>
    <w:p w:rsidR="007D23B5" w:rsidRPr="00FA2E40" w:rsidRDefault="007D23B5" w:rsidP="007D23B5">
      <w:pPr>
        <w:ind w:left="0"/>
        <w:rPr>
          <w:b/>
        </w:rPr>
      </w:pPr>
      <w:r w:rsidRPr="00FA2E40">
        <w:rPr>
          <w:b/>
        </w:rPr>
        <w:t>[</w:t>
      </w:r>
      <w:r w:rsidRPr="00FA2E40">
        <w:rPr>
          <w:b/>
          <w:color w:val="005186" w:themeColor="text2"/>
        </w:rPr>
        <w:t>DESCRIBE THE NEED FOR THE RELIEF AND WHY OWNER CANNOT REASONABLY SATISFY THE DEADLINES OF § 42(h)(1)(E) BECAUSE OF THE MAJOR DISASTER</w:t>
      </w:r>
      <w:r w:rsidR="00FA2E40" w:rsidRPr="00FA2E40">
        <w:rPr>
          <w:b/>
          <w:color w:val="005186" w:themeColor="text2"/>
        </w:rPr>
        <w:t>. DO NOT ATTACH ANY ADDITIONAL DOCUMENTATION.</w:t>
      </w:r>
      <w:r w:rsidRPr="00FA2E40">
        <w:rPr>
          <w:b/>
        </w:rPr>
        <w:t>]</w:t>
      </w:r>
    </w:p>
    <w:p w:rsidR="00FA2E40" w:rsidRDefault="00FA2E40" w:rsidP="007D23B5">
      <w:pPr>
        <w:ind w:left="0"/>
      </w:pPr>
    </w:p>
    <w:p w:rsidR="00456083" w:rsidRDefault="00456083" w:rsidP="00787027">
      <w:pPr>
        <w:ind w:left="0"/>
      </w:pPr>
    </w:p>
    <w:p w:rsidR="00456083" w:rsidRDefault="00456083" w:rsidP="00787027">
      <w:pPr>
        <w:ind w:left="0"/>
      </w:pPr>
      <w:r>
        <w:t xml:space="preserve">I understand that if this request is approved, I will receive an amendment to the carryover allocation agreement </w:t>
      </w:r>
      <w:r w:rsidR="007D23B5">
        <w:t xml:space="preserve">reflecting a 6-month extension to the 10% test deadline and/or a 12-month extension to the placed in service deadline which </w:t>
      </w:r>
      <w:r>
        <w:t xml:space="preserve">must be signed and returned to OHFA. </w:t>
      </w:r>
    </w:p>
    <w:p w:rsidR="00456083" w:rsidRDefault="00456083" w:rsidP="00787027">
      <w:pPr>
        <w:ind w:left="0"/>
      </w:pPr>
    </w:p>
    <w:p w:rsidR="00456083" w:rsidRDefault="00456083" w:rsidP="00787027">
      <w:pPr>
        <w:ind w:left="0"/>
      </w:pPr>
      <w:r>
        <w:t>I understand that if I obtain the relief provided in section</w:t>
      </w:r>
      <w:r w:rsidR="007D23B5">
        <w:t>s</w:t>
      </w:r>
      <w:r>
        <w:t xml:space="preserve"> 6.02 or 6.03 of Rev. Proc. </w:t>
      </w:r>
      <w:r w:rsidR="006B4BE4">
        <w:t>2</w:t>
      </w:r>
      <w:r>
        <w:t xml:space="preserve">014-49 but fail to satisfy the requirement(s) before the expiration of the extension period, the IRS will treat the carryover allocation as a credit returned </w:t>
      </w:r>
      <w:r w:rsidRPr="00456083">
        <w:t>to the Agency on the day following the end of the extension period</w:t>
      </w:r>
      <w:r w:rsidR="00771E5F">
        <w:t>.</w:t>
      </w:r>
      <w:bookmarkStart w:id="0" w:name="_GoBack"/>
      <w:bookmarkEnd w:id="0"/>
      <w:r w:rsidRPr="00456083">
        <w:t xml:space="preserve"> </w:t>
      </w:r>
    </w:p>
    <w:p w:rsidR="00456083" w:rsidRDefault="00456083" w:rsidP="00787027">
      <w:pPr>
        <w:ind w:left="0"/>
      </w:pPr>
    </w:p>
    <w:p w:rsidR="0051407C" w:rsidRDefault="0051407C" w:rsidP="007D23B5">
      <w:pPr>
        <w:tabs>
          <w:tab w:val="left" w:pos="-720"/>
        </w:tabs>
        <w:suppressAutoHyphens/>
      </w:pPr>
      <w:r>
        <w:t xml:space="preserve"> </w:t>
      </w:r>
      <w:r w:rsidR="007D23B5">
        <w:tab/>
      </w:r>
    </w:p>
    <w:p w:rsidR="007D23B5" w:rsidRDefault="007D23B5" w:rsidP="00FA2E40">
      <w:pPr>
        <w:tabs>
          <w:tab w:val="left" w:pos="0"/>
          <w:tab w:val="left" w:pos="90"/>
        </w:tabs>
        <w:suppressAutoHyphens/>
        <w:ind w:left="0"/>
      </w:pPr>
      <w:r>
        <w:t>Sincerely,</w:t>
      </w:r>
    </w:p>
    <w:p w:rsidR="007D23B5" w:rsidRDefault="007D23B5" w:rsidP="007D23B5">
      <w:pPr>
        <w:tabs>
          <w:tab w:val="left" w:pos="-720"/>
        </w:tabs>
        <w:suppressAutoHyphens/>
        <w:ind w:left="0"/>
      </w:pPr>
    </w:p>
    <w:p w:rsidR="007D23B5" w:rsidRPr="00FA2E40" w:rsidRDefault="007D23B5" w:rsidP="007D23B5">
      <w:pPr>
        <w:tabs>
          <w:tab w:val="left" w:pos="-720"/>
        </w:tabs>
        <w:suppressAutoHyphens/>
        <w:ind w:left="0"/>
        <w:rPr>
          <w:b/>
        </w:rPr>
      </w:pPr>
      <w:r w:rsidRPr="00FA2E40">
        <w:rPr>
          <w:b/>
        </w:rPr>
        <w:t>[</w:t>
      </w:r>
      <w:r w:rsidR="00FA2E40" w:rsidRPr="00FA2E40">
        <w:rPr>
          <w:b/>
          <w:color w:val="005186" w:themeColor="text2"/>
        </w:rPr>
        <w:t>SIGNATURE OF OWNER</w:t>
      </w:r>
      <w:r w:rsidRPr="00FA2E40">
        <w:rPr>
          <w:b/>
        </w:rPr>
        <w:t>]</w:t>
      </w:r>
    </w:p>
    <w:p w:rsidR="007D23B5" w:rsidRPr="00FA2E40" w:rsidRDefault="007D23B5" w:rsidP="007D23B5">
      <w:pPr>
        <w:tabs>
          <w:tab w:val="left" w:pos="-720"/>
        </w:tabs>
        <w:suppressAutoHyphens/>
        <w:ind w:left="0"/>
        <w:rPr>
          <w:b/>
        </w:rPr>
      </w:pPr>
    </w:p>
    <w:p w:rsidR="007D23B5" w:rsidRDefault="007D23B5" w:rsidP="00FA2E40">
      <w:pPr>
        <w:tabs>
          <w:tab w:val="left" w:pos="0"/>
        </w:tabs>
        <w:suppressAutoHyphens/>
        <w:ind w:left="0"/>
      </w:pPr>
      <w:r w:rsidRPr="00FA2E40">
        <w:rPr>
          <w:b/>
        </w:rPr>
        <w:t>[</w:t>
      </w:r>
      <w:r w:rsidR="00FA2E40" w:rsidRPr="00FA2E40">
        <w:rPr>
          <w:b/>
          <w:color w:val="005186" w:themeColor="text2"/>
        </w:rPr>
        <w:t>PRINT NAME OF OWNER</w:t>
      </w:r>
      <w:r w:rsidRPr="00FA2E40">
        <w:rPr>
          <w:b/>
        </w:rPr>
        <w:t>]</w:t>
      </w:r>
    </w:p>
    <w:p w:rsidR="007D23B5" w:rsidRDefault="007D23B5" w:rsidP="007D23B5">
      <w:pPr>
        <w:tabs>
          <w:tab w:val="left" w:pos="-720"/>
        </w:tabs>
        <w:suppressAutoHyphens/>
      </w:pPr>
      <w:r>
        <w:tab/>
      </w:r>
      <w:r>
        <w:tab/>
      </w:r>
      <w:r>
        <w:tab/>
      </w:r>
    </w:p>
    <w:sectPr w:rsidR="007D23B5" w:rsidSect="00FA2E4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168" w:rsidRDefault="007F1168" w:rsidP="00431B69">
      <w:r>
        <w:separator/>
      </w:r>
    </w:p>
  </w:endnote>
  <w:endnote w:type="continuationSeparator" w:id="0">
    <w:p w:rsidR="007F1168" w:rsidRDefault="007F1168" w:rsidP="0043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168" w:rsidRDefault="007F1168" w:rsidP="00431B69">
      <w:r>
        <w:separator/>
      </w:r>
    </w:p>
  </w:footnote>
  <w:footnote w:type="continuationSeparator" w:id="0">
    <w:p w:rsidR="007F1168" w:rsidRDefault="007F1168" w:rsidP="00431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56F"/>
    <w:multiLevelType w:val="hybridMultilevel"/>
    <w:tmpl w:val="A9384BE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FD33EB0"/>
    <w:multiLevelType w:val="hybridMultilevel"/>
    <w:tmpl w:val="4760B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68"/>
    <w:rsid w:val="00095776"/>
    <w:rsid w:val="000A503A"/>
    <w:rsid w:val="000F2D64"/>
    <w:rsid w:val="00193D8C"/>
    <w:rsid w:val="00260D50"/>
    <w:rsid w:val="003015FA"/>
    <w:rsid w:val="0036164E"/>
    <w:rsid w:val="003A739B"/>
    <w:rsid w:val="003D641B"/>
    <w:rsid w:val="004058BA"/>
    <w:rsid w:val="00431B69"/>
    <w:rsid w:val="00456083"/>
    <w:rsid w:val="00461398"/>
    <w:rsid w:val="0051407C"/>
    <w:rsid w:val="005C175A"/>
    <w:rsid w:val="006135EE"/>
    <w:rsid w:val="00696174"/>
    <w:rsid w:val="006B0A80"/>
    <w:rsid w:val="006B4BE4"/>
    <w:rsid w:val="0073719C"/>
    <w:rsid w:val="007612F6"/>
    <w:rsid w:val="00771E5F"/>
    <w:rsid w:val="00787027"/>
    <w:rsid w:val="007D23B5"/>
    <w:rsid w:val="007F1168"/>
    <w:rsid w:val="00833460"/>
    <w:rsid w:val="00850BF3"/>
    <w:rsid w:val="00862756"/>
    <w:rsid w:val="00876F2C"/>
    <w:rsid w:val="009156CF"/>
    <w:rsid w:val="00955726"/>
    <w:rsid w:val="00962DF6"/>
    <w:rsid w:val="00AD7952"/>
    <w:rsid w:val="00B832FD"/>
    <w:rsid w:val="00E573BA"/>
    <w:rsid w:val="00E908BD"/>
    <w:rsid w:val="00F468C3"/>
    <w:rsid w:val="00FA2E40"/>
    <w:rsid w:val="00FE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AC66F01"/>
  <w15:docId w15:val="{05DD4547-0DC1-4259-A2BD-106CF604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  <w:ind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B69"/>
    <w:pPr>
      <w:ind w:left="-720" w:firstLine="0"/>
      <w:contextualSpacing/>
    </w:pPr>
    <w:rPr>
      <w:rFonts w:ascii="Arial" w:hAnsi="Arial"/>
      <w:color w:val="161616" w:themeColor="background2" w:themeShade="1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BF3"/>
    <w:pPr>
      <w:keepNext/>
      <w:keepLines/>
      <w:spacing w:before="480"/>
      <w:outlineLvl w:val="0"/>
    </w:pPr>
    <w:rPr>
      <w:rFonts w:ascii="Century Gothic" w:eastAsiaTheme="majorEastAsia" w:hAnsi="Century Gothic" w:cstheme="majorBidi"/>
      <w:b/>
      <w:bCs/>
      <w:color w:val="005186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BF3"/>
    <w:pPr>
      <w:keepNext/>
      <w:keepLines/>
      <w:spacing w:before="200"/>
      <w:outlineLvl w:val="1"/>
    </w:pPr>
    <w:rPr>
      <w:rFonts w:ascii="Century Gothic" w:eastAsiaTheme="majorEastAsia" w:hAnsi="Century Gothic" w:cstheme="majorBidi"/>
      <w:b/>
      <w:bCs/>
      <w:color w:val="56AA8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0BF3"/>
    <w:pPr>
      <w:keepNext/>
      <w:keepLines/>
      <w:spacing w:before="200"/>
      <w:outlineLvl w:val="2"/>
    </w:pPr>
    <w:rPr>
      <w:rFonts w:ascii="Century Gothic" w:eastAsiaTheme="majorEastAsia" w:hAnsi="Century Gothic" w:cstheme="majorBidi"/>
      <w:b/>
      <w:bCs/>
      <w:color w:val="7F7F7F" w:themeColor="accent6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0BF3"/>
    <w:pPr>
      <w:keepNext/>
      <w:keepLines/>
      <w:spacing w:before="20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5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284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BF3"/>
    <w:rPr>
      <w:rFonts w:ascii="Century Gothic" w:eastAsiaTheme="majorEastAsia" w:hAnsi="Century Gothic" w:cstheme="majorBidi"/>
      <w:b/>
      <w:bCs/>
      <w:color w:val="005186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0BF3"/>
    <w:rPr>
      <w:rFonts w:ascii="Century Gothic" w:eastAsiaTheme="majorEastAsia" w:hAnsi="Century Gothic" w:cstheme="majorBidi"/>
      <w:b/>
      <w:bCs/>
      <w:color w:val="56AA80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0BF3"/>
    <w:rPr>
      <w:rFonts w:ascii="Century Gothic" w:eastAsiaTheme="majorEastAsia" w:hAnsi="Century Gothic" w:cstheme="majorBidi"/>
      <w:b/>
      <w:bCs/>
      <w:color w:val="7F7F7F" w:themeColor="accent6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50BF3"/>
    <w:rPr>
      <w:rFonts w:ascii="Arial" w:eastAsiaTheme="majorEastAsia" w:hAnsi="Arial" w:cstheme="majorBidi"/>
      <w:bCs/>
      <w:iCs/>
      <w:color w:val="161616" w:themeColor="background2" w:themeShade="1A"/>
      <w:sz w:val="20"/>
      <w:u w:val="single"/>
    </w:rPr>
  </w:style>
  <w:style w:type="paragraph" w:styleId="ListParagraph">
    <w:name w:val="List Paragraph"/>
    <w:basedOn w:val="Normal"/>
    <w:uiPriority w:val="34"/>
    <w:qFormat/>
    <w:rsid w:val="00850BF3"/>
    <w:pPr>
      <w:ind w:left="360"/>
    </w:pPr>
  </w:style>
  <w:style w:type="paragraph" w:styleId="NoSpacing">
    <w:name w:val="No Spacing"/>
    <w:uiPriority w:val="1"/>
    <w:qFormat/>
    <w:rsid w:val="00850BF3"/>
    <w:pPr>
      <w:spacing w:before="0"/>
      <w:ind w:firstLine="0"/>
      <w:contextualSpacing/>
    </w:pPr>
    <w:rPr>
      <w:rFonts w:ascii="Arial" w:hAnsi="Arial"/>
      <w:color w:val="161616" w:themeColor="background2" w:themeShade="1A"/>
      <w:sz w:val="20"/>
    </w:rPr>
  </w:style>
  <w:style w:type="paragraph" w:styleId="Header">
    <w:name w:val="header"/>
    <w:basedOn w:val="Normal"/>
    <w:link w:val="HeaderChar"/>
    <w:uiPriority w:val="99"/>
    <w:unhideWhenUsed/>
    <w:rsid w:val="007F116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F1168"/>
    <w:rPr>
      <w:rFonts w:ascii="Arial" w:hAnsi="Arial"/>
      <w:color w:val="161616" w:themeColor="background2" w:themeShade="1A"/>
      <w:sz w:val="20"/>
    </w:rPr>
  </w:style>
  <w:style w:type="paragraph" w:styleId="Footer">
    <w:name w:val="footer"/>
    <w:basedOn w:val="Normal"/>
    <w:link w:val="FooterChar"/>
    <w:uiPriority w:val="99"/>
    <w:unhideWhenUsed/>
    <w:rsid w:val="007F116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F1168"/>
    <w:rPr>
      <w:rFonts w:ascii="Arial" w:hAnsi="Arial"/>
      <w:color w:val="161616" w:themeColor="background2" w:themeShade="1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16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168"/>
    <w:rPr>
      <w:rFonts w:ascii="Tahoma" w:hAnsi="Tahoma" w:cs="Tahoma"/>
      <w:color w:val="161616" w:themeColor="background2" w:themeShade="1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095776"/>
    <w:rPr>
      <w:rFonts w:asciiTheme="majorHAnsi" w:eastAsiaTheme="majorEastAsia" w:hAnsiTheme="majorHAnsi" w:cstheme="majorBidi"/>
      <w:color w:val="002842" w:themeColor="accent1" w:themeShade="7F"/>
      <w:sz w:val="20"/>
    </w:rPr>
  </w:style>
  <w:style w:type="character" w:styleId="Hyperlink">
    <w:name w:val="Hyperlink"/>
    <w:basedOn w:val="DefaultParagraphFont"/>
    <w:uiPriority w:val="99"/>
    <w:unhideWhenUsed/>
    <w:rsid w:val="00431B69"/>
    <w:rPr>
      <w:b/>
      <w:color w:val="56AA80" w:themeColor="accent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7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">
      <a:dk1>
        <a:sysClr val="windowText" lastClr="000000"/>
      </a:dk1>
      <a:lt1>
        <a:sysClr val="window" lastClr="FFFFFF"/>
      </a:lt1>
      <a:dk2>
        <a:srgbClr val="005186"/>
      </a:dk2>
      <a:lt2>
        <a:srgbClr val="D8D8D8"/>
      </a:lt2>
      <a:accent1>
        <a:srgbClr val="005186"/>
      </a:accent1>
      <a:accent2>
        <a:srgbClr val="A8DCDC"/>
      </a:accent2>
      <a:accent3>
        <a:srgbClr val="56AA80"/>
      </a:accent3>
      <a:accent4>
        <a:srgbClr val="C4CC8F"/>
      </a:accent4>
      <a:accent5>
        <a:srgbClr val="D8D8D8"/>
      </a:accent5>
      <a:accent6>
        <a:srgbClr val="7F7F7F"/>
      </a:accent6>
      <a:hlink>
        <a:srgbClr val="FFFFFF"/>
      </a:hlink>
      <a:folHlink>
        <a:srgbClr val="1DA5FF"/>
      </a:folHlink>
    </a:clrScheme>
    <a:fontScheme name="Custom 1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Housing Finance Agency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Paige</dc:creator>
  <cp:lastModifiedBy>Alecusan, Diane</cp:lastModifiedBy>
  <cp:revision>12</cp:revision>
  <dcterms:created xsi:type="dcterms:W3CDTF">2020-04-13T20:49:00Z</dcterms:created>
  <dcterms:modified xsi:type="dcterms:W3CDTF">2020-04-16T13:42:00Z</dcterms:modified>
</cp:coreProperties>
</file>